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7572" w:rsidRDefault="00594D4F">
      <w:pPr>
        <w:spacing w:line="360" w:lineRule="auto"/>
        <w:rPr>
          <w:b/>
          <w:sz w:val="24"/>
          <w:szCs w:val="24"/>
        </w:rPr>
      </w:pPr>
      <w:bookmarkStart w:id="0" w:name="_GoBack"/>
      <w:bookmarkEnd w:id="0"/>
      <w:r>
        <w:rPr>
          <w:b/>
          <w:color w:val="434343"/>
          <w:sz w:val="24"/>
          <w:szCs w:val="24"/>
        </w:rPr>
        <w:t xml:space="preserve">                                    </w:t>
      </w:r>
      <w:r>
        <w:rPr>
          <w:b/>
          <w:sz w:val="24"/>
          <w:szCs w:val="24"/>
        </w:rPr>
        <w:t>EL TERAPEUTA COMO SUJETO</w:t>
      </w:r>
    </w:p>
    <w:p w:rsidR="00667572" w:rsidRDefault="00594D4F">
      <w:pPr>
        <w:spacing w:line="360" w:lineRule="auto"/>
        <w:rPr>
          <w:b/>
          <w:sz w:val="24"/>
          <w:szCs w:val="24"/>
        </w:rPr>
      </w:pPr>
      <w:r>
        <w:rPr>
          <w:b/>
          <w:sz w:val="24"/>
          <w:szCs w:val="24"/>
        </w:rPr>
        <w:t>Resumen</w:t>
      </w:r>
    </w:p>
    <w:p w:rsidR="00667572" w:rsidRDefault="00594D4F">
      <w:pPr>
        <w:spacing w:line="360" w:lineRule="auto"/>
        <w:rPr>
          <w:sz w:val="24"/>
          <w:szCs w:val="24"/>
        </w:rPr>
      </w:pPr>
      <w:r>
        <w:rPr>
          <w:sz w:val="24"/>
          <w:szCs w:val="24"/>
        </w:rPr>
        <w:t>Se amplía  un extracto, de lo hallado a partir de una investigación, enmarcada dentro de una Maestría en Clínica- UDELAR-  junio 2015</w:t>
      </w:r>
      <w:r>
        <w:rPr>
          <w:sz w:val="24"/>
          <w:szCs w:val="24"/>
          <w:vertAlign w:val="superscript"/>
        </w:rPr>
        <w:footnoteReference w:id="1"/>
      </w:r>
      <w:r>
        <w:rPr>
          <w:sz w:val="24"/>
          <w:szCs w:val="24"/>
        </w:rPr>
        <w:t>. Dicho trabajo de investigación  indaga acerca de la díada terapéutica.  En este artículo, hoy, se hace foco específicamente en  el terapeuta como sujeto, dentro del vínculo terapéutico.</w:t>
      </w:r>
    </w:p>
    <w:p w:rsidR="00667572" w:rsidRDefault="00594D4F">
      <w:pPr>
        <w:spacing w:line="360" w:lineRule="auto"/>
        <w:rPr>
          <w:b/>
          <w:sz w:val="24"/>
          <w:szCs w:val="24"/>
        </w:rPr>
      </w:pPr>
      <w:proofErr w:type="gramStart"/>
      <w:r>
        <w:rPr>
          <w:sz w:val="24"/>
          <w:szCs w:val="24"/>
        </w:rPr>
        <w:t>palabras</w:t>
      </w:r>
      <w:proofErr w:type="gramEnd"/>
      <w:r>
        <w:rPr>
          <w:sz w:val="24"/>
          <w:szCs w:val="24"/>
        </w:rPr>
        <w:t xml:space="preserve"> clave</w:t>
      </w:r>
      <w:r>
        <w:rPr>
          <w:b/>
          <w:sz w:val="24"/>
          <w:szCs w:val="24"/>
        </w:rPr>
        <w:t>:  vínculo terapéutico, intersubjetividad , transferencia</w:t>
      </w:r>
    </w:p>
    <w:p w:rsidR="00667572" w:rsidRDefault="00594D4F">
      <w:pPr>
        <w:spacing w:line="360" w:lineRule="auto"/>
        <w:rPr>
          <w:sz w:val="24"/>
          <w:szCs w:val="24"/>
          <w:u w:val="single"/>
        </w:rPr>
      </w:pPr>
      <w:r>
        <w:rPr>
          <w:sz w:val="28"/>
          <w:szCs w:val="28"/>
          <w:u w:val="single"/>
        </w:rPr>
        <w:t xml:space="preserve"> </w:t>
      </w:r>
      <w:r>
        <w:rPr>
          <w:sz w:val="24"/>
          <w:szCs w:val="24"/>
          <w:u w:val="single"/>
        </w:rPr>
        <w:t>Introducción</w:t>
      </w:r>
    </w:p>
    <w:p w:rsidR="00667572" w:rsidRDefault="00594D4F">
      <w:pPr>
        <w:spacing w:line="360" w:lineRule="auto"/>
        <w:rPr>
          <w:sz w:val="24"/>
          <w:szCs w:val="24"/>
        </w:rPr>
      </w:pPr>
      <w:r>
        <w:rPr>
          <w:rFonts w:ascii="Times New Roman" w:eastAsia="Times New Roman" w:hAnsi="Times New Roman" w:cs="Times New Roman"/>
          <w:sz w:val="24"/>
          <w:szCs w:val="24"/>
        </w:rPr>
        <w:t xml:space="preserve"> </w:t>
      </w:r>
      <w:r>
        <w:rPr>
          <w:sz w:val="24"/>
          <w:szCs w:val="24"/>
        </w:rPr>
        <w:t xml:space="preserve">    El presente artículo se desprende de un trabajo de tesis de maestría clínica          (2015)</w:t>
      </w:r>
      <w:r>
        <w:rPr>
          <w:sz w:val="24"/>
          <w:szCs w:val="24"/>
          <w:vertAlign w:val="superscript"/>
        </w:rPr>
        <w:footnoteReference w:id="2"/>
      </w:r>
      <w:r>
        <w:rPr>
          <w:sz w:val="24"/>
          <w:szCs w:val="24"/>
        </w:rPr>
        <w:t>, de la misma autora y asistente. En esta oportunidad se pretende dar a conocer y desarrollar uno de los aspectos más significativos surgidos en el análisis del trabajo de campo de la misma. Se hará foco en lo que respecta al Terapeuta como sujeto dentro del vínculo terapéutico y sus implicancias.</w:t>
      </w:r>
    </w:p>
    <w:p w:rsidR="00667572" w:rsidRDefault="00594D4F">
      <w:pPr>
        <w:spacing w:line="360" w:lineRule="auto"/>
        <w:ind w:right="40"/>
        <w:rPr>
          <w:sz w:val="24"/>
          <w:szCs w:val="24"/>
        </w:rPr>
      </w:pPr>
      <w:r>
        <w:rPr>
          <w:sz w:val="24"/>
          <w:szCs w:val="24"/>
        </w:rPr>
        <w:t xml:space="preserve">¿La relación paciente-terapeuta, trasciende los fenómenos transferenciales?  Si así </w:t>
      </w:r>
      <w:proofErr w:type="gramStart"/>
      <w:r>
        <w:rPr>
          <w:sz w:val="24"/>
          <w:szCs w:val="24"/>
        </w:rPr>
        <w:t>fuera</w:t>
      </w:r>
      <w:proofErr w:type="gramEnd"/>
      <w:r>
        <w:rPr>
          <w:sz w:val="24"/>
          <w:szCs w:val="24"/>
        </w:rPr>
        <w:t xml:space="preserve">, el psicoanalista debe ser pensado como sujeto, como otro, además de ser objeto de la transferencia y no solamente como  depositario de las investiduras del  paciente. Así nos introducimos en el concepto de intersubjetividad. </w:t>
      </w:r>
    </w:p>
    <w:p w:rsidR="00667572" w:rsidRDefault="00594D4F">
      <w:pPr>
        <w:spacing w:line="360" w:lineRule="auto"/>
        <w:ind w:right="40"/>
        <w:rPr>
          <w:sz w:val="24"/>
          <w:szCs w:val="24"/>
        </w:rPr>
      </w:pPr>
      <w:r>
        <w:rPr>
          <w:sz w:val="24"/>
          <w:szCs w:val="24"/>
        </w:rPr>
        <w:t xml:space="preserve">Y siguiendo en ese camino, el terapeuta- otro, ¿se ve impactado como persona a través del trabajo como terapeuta? ¿Cambia sólo el paciente o también el terapeuta sujeto? </w:t>
      </w:r>
    </w:p>
    <w:p w:rsidR="00667572" w:rsidRDefault="00594D4F">
      <w:pPr>
        <w:spacing w:line="360" w:lineRule="auto"/>
        <w:ind w:right="40"/>
        <w:rPr>
          <w:sz w:val="24"/>
          <w:szCs w:val="24"/>
          <w:u w:val="single"/>
        </w:rPr>
      </w:pPr>
      <w:r>
        <w:rPr>
          <w:sz w:val="24"/>
          <w:szCs w:val="24"/>
          <w:u w:val="single"/>
        </w:rPr>
        <w:t xml:space="preserve">Buscando Respuestas </w:t>
      </w:r>
    </w:p>
    <w:p w:rsidR="00667572" w:rsidRDefault="00594D4F">
      <w:pPr>
        <w:spacing w:line="360" w:lineRule="auto"/>
        <w:rPr>
          <w:sz w:val="24"/>
          <w:szCs w:val="24"/>
        </w:rPr>
      </w:pPr>
      <w:r>
        <w:rPr>
          <w:sz w:val="24"/>
          <w:szCs w:val="24"/>
        </w:rPr>
        <w:t xml:space="preserve">Se observan diferentes posiciones entre los entrevistados; uno de ellos considera que </w:t>
      </w:r>
      <w:r>
        <w:rPr>
          <w:i/>
          <w:sz w:val="24"/>
          <w:szCs w:val="24"/>
        </w:rPr>
        <w:t>sí hay afectación</w:t>
      </w:r>
      <w:r>
        <w:rPr>
          <w:sz w:val="24"/>
          <w:szCs w:val="24"/>
        </w:rPr>
        <w:t>, explicitando que el vínculo con el paciente puede “</w:t>
      </w:r>
      <w:r>
        <w:rPr>
          <w:i/>
          <w:sz w:val="24"/>
          <w:szCs w:val="24"/>
        </w:rPr>
        <w:t xml:space="preserve">aportar distintos puntos de vista, puede traer problemas que  no se habían pensado antes, o que pueden alterar al terapeuta, por ejemplo, pacientes con mucha hostilidad” </w:t>
      </w:r>
      <w:r>
        <w:rPr>
          <w:sz w:val="24"/>
          <w:szCs w:val="24"/>
        </w:rPr>
        <w:t>(</w:t>
      </w:r>
      <w:proofErr w:type="spellStart"/>
      <w:r>
        <w:rPr>
          <w:sz w:val="24"/>
          <w:szCs w:val="24"/>
        </w:rPr>
        <w:t>Alzugaray</w:t>
      </w:r>
      <w:proofErr w:type="spellEnd"/>
      <w:r>
        <w:rPr>
          <w:sz w:val="24"/>
          <w:szCs w:val="24"/>
        </w:rPr>
        <w:t xml:space="preserve">, 2015, p.74). Sin embargo plantea que  si por  “cambio” se </w:t>
      </w:r>
      <w:r>
        <w:rPr>
          <w:color w:val="434343"/>
          <w:sz w:val="24"/>
          <w:szCs w:val="24"/>
        </w:rPr>
        <w:t xml:space="preserve"> </w:t>
      </w:r>
      <w:r>
        <w:rPr>
          <w:sz w:val="24"/>
          <w:szCs w:val="24"/>
        </w:rPr>
        <w:t>entiende</w:t>
      </w:r>
      <w:r>
        <w:rPr>
          <w:i/>
          <w:sz w:val="24"/>
          <w:szCs w:val="24"/>
        </w:rPr>
        <w:t xml:space="preserve"> una </w:t>
      </w:r>
      <w:r>
        <w:rPr>
          <w:i/>
          <w:sz w:val="24"/>
          <w:szCs w:val="24"/>
        </w:rPr>
        <w:lastRenderedPageBreak/>
        <w:t>ruptura, un cambio fuerte</w:t>
      </w:r>
      <w:r>
        <w:rPr>
          <w:sz w:val="24"/>
          <w:szCs w:val="24"/>
        </w:rPr>
        <w:t>, en ese caso, en principio, no estaría de acuerdo (</w:t>
      </w:r>
      <w:proofErr w:type="spellStart"/>
      <w:r>
        <w:rPr>
          <w:sz w:val="24"/>
          <w:szCs w:val="24"/>
        </w:rPr>
        <w:t>Ent.PCV</w:t>
      </w:r>
      <w:proofErr w:type="spellEnd"/>
      <w:r>
        <w:rPr>
          <w:sz w:val="24"/>
          <w:szCs w:val="24"/>
        </w:rPr>
        <w:t>)</w:t>
      </w:r>
      <w:r>
        <w:rPr>
          <w:sz w:val="24"/>
          <w:szCs w:val="24"/>
          <w:vertAlign w:val="superscript"/>
        </w:rPr>
        <w:footnoteReference w:id="3"/>
      </w:r>
      <w:r>
        <w:rPr>
          <w:sz w:val="24"/>
          <w:szCs w:val="24"/>
        </w:rPr>
        <w:t xml:space="preserve">.                                                </w:t>
      </w:r>
      <w:r>
        <w:rPr>
          <w:sz w:val="24"/>
          <w:szCs w:val="24"/>
        </w:rPr>
        <w:br/>
        <w:t xml:space="preserve">   Por otro lado, en otra entrevista (</w:t>
      </w:r>
      <w:proofErr w:type="spellStart"/>
      <w:r>
        <w:rPr>
          <w:sz w:val="24"/>
          <w:szCs w:val="24"/>
        </w:rPr>
        <w:t>Ent</w:t>
      </w:r>
      <w:proofErr w:type="spellEnd"/>
      <w:r>
        <w:rPr>
          <w:sz w:val="24"/>
          <w:szCs w:val="24"/>
        </w:rPr>
        <w:t xml:space="preserve"> PSO) el experto  plantea que el terapeuta puede ser afectado por el vínculo terapéutico y si bien puede haber cambios, </w:t>
      </w:r>
      <w:r>
        <w:rPr>
          <w:i/>
          <w:sz w:val="24"/>
          <w:szCs w:val="24"/>
        </w:rPr>
        <w:t xml:space="preserve">“estos no son como los cambios del paciente, es un cambio parcial”... “puede ser enriquecedor o no, ahora, los cambios en el paciente son estructurales” </w:t>
      </w:r>
      <w:r>
        <w:rPr>
          <w:sz w:val="24"/>
          <w:szCs w:val="24"/>
        </w:rPr>
        <w:t>(</w:t>
      </w:r>
      <w:proofErr w:type="spellStart"/>
      <w:r>
        <w:rPr>
          <w:sz w:val="24"/>
          <w:szCs w:val="24"/>
        </w:rPr>
        <w:t>Alzugaray</w:t>
      </w:r>
      <w:proofErr w:type="spellEnd"/>
      <w:r>
        <w:rPr>
          <w:sz w:val="24"/>
          <w:szCs w:val="24"/>
        </w:rPr>
        <w:t>, 2015, p. 75)</w:t>
      </w:r>
      <w:r>
        <w:rPr>
          <w:i/>
          <w:sz w:val="24"/>
          <w:szCs w:val="24"/>
        </w:rPr>
        <w:t xml:space="preserve">       </w:t>
      </w:r>
      <w:r>
        <w:rPr>
          <w:sz w:val="24"/>
          <w:szCs w:val="24"/>
        </w:rPr>
        <w:t xml:space="preserve">                                                                                                                                                 Aquí  se observa un punto de coincidencia con lo expresado en la primer entrevista citada de un terapeuta vincular. Ambos entienden que los cambios del terapeuta no son de la misma entidad que los cambios del paciente, para estos expertos entonces, el terapeuta puede verse afectado sí, pero no habría cambios “estructurales” - llamados en un caso -  o “cambios/rupturas” - llamado en otro caso-. </w:t>
      </w:r>
      <w:r>
        <w:rPr>
          <w:sz w:val="24"/>
          <w:szCs w:val="24"/>
        </w:rPr>
        <w:br/>
        <w:t>Más allá de estas situaciones planteadas se encuentra  una predominancia de Terapeutas, tanto del grupo que adhiere al PCV,  como psicoterapeutas psicoanalíticos  de distintas líneas que  entienden que efectivamente  el vínculo terapéutico sí puede ser generador de cambio, en el terapeuta -sujeto, expresando por ejemplo:</w:t>
      </w:r>
    </w:p>
    <w:p w:rsidR="00667572" w:rsidRDefault="00594D4F">
      <w:pPr>
        <w:spacing w:line="360" w:lineRule="auto"/>
        <w:ind w:left="540"/>
        <w:rPr>
          <w:sz w:val="24"/>
          <w:szCs w:val="24"/>
        </w:rPr>
      </w:pPr>
      <w:r>
        <w:t>- “</w:t>
      </w:r>
      <w:r>
        <w:rPr>
          <w:i/>
        </w:rPr>
        <w:t>No hay relación  que no te afecte…..te  cambia sí,.....seguramente haya un lado de organizar la locura propia también</w:t>
      </w:r>
      <w:r>
        <w:t xml:space="preserve">”  </w:t>
      </w:r>
      <w:proofErr w:type="gramStart"/>
      <w:r>
        <w:t xml:space="preserve">( </w:t>
      </w:r>
      <w:proofErr w:type="spellStart"/>
      <w:r>
        <w:t>Ent</w:t>
      </w:r>
      <w:proofErr w:type="spellEnd"/>
      <w:proofErr w:type="gramEnd"/>
      <w:r>
        <w:t xml:space="preserve">. PCV) </w:t>
      </w:r>
      <w:r>
        <w:br/>
        <w:t>-</w:t>
      </w:r>
      <w:r>
        <w:rPr>
          <w:i/>
        </w:rPr>
        <w:t>“Yo creo que cambios muy importantes sí, nos enseñan mucho, uno mira atrás después de muchos años y se da cuenta y siente cuánto lo han cambiado, enriquecido”</w:t>
      </w:r>
      <w:r>
        <w:t xml:space="preserve"> (</w:t>
      </w:r>
      <w:proofErr w:type="spellStart"/>
      <w:r>
        <w:t>Ent</w:t>
      </w:r>
      <w:proofErr w:type="spellEnd"/>
      <w:r>
        <w:t>. PSO). (Alzugaray</w:t>
      </w:r>
      <w:proofErr w:type="gramStart"/>
      <w:r>
        <w:t>,2015,p</w:t>
      </w:r>
      <w:proofErr w:type="gramEnd"/>
      <w:r>
        <w:t>. 73)</w:t>
      </w:r>
      <w:r>
        <w:rPr>
          <w:color w:val="0000FF"/>
        </w:rPr>
        <w:t xml:space="preserve"> </w:t>
      </w:r>
      <w:r>
        <w:rPr>
          <w:color w:val="0000FF"/>
          <w:sz w:val="24"/>
          <w:szCs w:val="24"/>
        </w:rPr>
        <w:t xml:space="preserve">   </w:t>
      </w:r>
      <w:r>
        <w:rPr>
          <w:sz w:val="24"/>
          <w:szCs w:val="24"/>
        </w:rPr>
        <w:t xml:space="preserve">    </w:t>
      </w:r>
    </w:p>
    <w:p w:rsidR="00667572" w:rsidRDefault="00594D4F">
      <w:pPr>
        <w:spacing w:line="360" w:lineRule="auto"/>
        <w:rPr>
          <w:sz w:val="24"/>
          <w:szCs w:val="24"/>
        </w:rPr>
      </w:pPr>
      <w:r>
        <w:rPr>
          <w:sz w:val="24"/>
          <w:szCs w:val="24"/>
        </w:rPr>
        <w:t xml:space="preserve"> Si bien el objetivo del trabajo terapéutico no es el cambio del terapeuta</w:t>
      </w:r>
      <w:r>
        <w:rPr>
          <w:b/>
          <w:sz w:val="24"/>
          <w:szCs w:val="24"/>
        </w:rPr>
        <w:t>,</w:t>
      </w:r>
      <w:r>
        <w:rPr>
          <w:sz w:val="24"/>
          <w:szCs w:val="24"/>
        </w:rPr>
        <w:t xml:space="preserve"> el mismo implica una condición inevitable para el propio concepto de Vínculo. El que ocurra algo nuevo o diferente entre ambos sujetos del Vínculo irremediablemente genera un cambio en ambos, una nueva marca. </w:t>
      </w:r>
    </w:p>
    <w:p w:rsidR="00667572" w:rsidRDefault="00594D4F">
      <w:pPr>
        <w:spacing w:line="360" w:lineRule="auto"/>
        <w:rPr>
          <w:sz w:val="24"/>
          <w:szCs w:val="24"/>
        </w:rPr>
      </w:pPr>
      <w:r>
        <w:rPr>
          <w:sz w:val="24"/>
          <w:szCs w:val="24"/>
        </w:rPr>
        <w:t xml:space="preserve">Dice </w:t>
      </w:r>
      <w:proofErr w:type="spellStart"/>
      <w:r>
        <w:rPr>
          <w:sz w:val="24"/>
          <w:szCs w:val="24"/>
        </w:rPr>
        <w:t>Berenstein</w:t>
      </w:r>
      <w:proofErr w:type="spellEnd"/>
      <w:r>
        <w:rPr>
          <w:sz w:val="24"/>
          <w:szCs w:val="24"/>
        </w:rPr>
        <w:t xml:space="preserve"> (2001) “La situación analítica  suele impregnar a ambos sujetos y genera un clima en el cual ambos yoes no serán los mismos antes, que después de producirse” (p.178). </w:t>
      </w:r>
      <w:r>
        <w:rPr>
          <w:sz w:val="24"/>
          <w:szCs w:val="24"/>
        </w:rPr>
        <w:br/>
        <w:t>Ahora bien, cuando entendemos al terapeuta como sujeto de ese Vínculo,</w:t>
      </w:r>
      <w:r w:rsidR="00CF5C66">
        <w:rPr>
          <w:sz w:val="24"/>
          <w:szCs w:val="24"/>
        </w:rPr>
        <w:t xml:space="preserve"> </w:t>
      </w:r>
      <w:r>
        <w:rPr>
          <w:sz w:val="24"/>
          <w:szCs w:val="24"/>
        </w:rPr>
        <w:t xml:space="preserve">esto implica una serie de incertezas que modificarían lo teórico-técnico dentro del campo del psicoanálisis. </w:t>
      </w:r>
    </w:p>
    <w:p w:rsidR="00667572" w:rsidRDefault="00594D4F">
      <w:pPr>
        <w:spacing w:line="360" w:lineRule="auto"/>
        <w:rPr>
          <w:sz w:val="24"/>
          <w:szCs w:val="24"/>
        </w:rPr>
      </w:pPr>
      <w:r>
        <w:rPr>
          <w:sz w:val="24"/>
          <w:szCs w:val="24"/>
        </w:rPr>
        <w:lastRenderedPageBreak/>
        <w:t>Las distintas concepciones o experiencias vivenciales  acerca del vínculo terapéutico van más allá de la formación específica de los terapeutas consultados. Es decir, que algunos psicoterapeutas que no pertenecen al grupo  de PCV, también poseen una concepción intersubjetiva del vínculo terapéutico y asimismo entienden que el trabajo terapéutico no se sostiene únicamente con el análisis de la transferencia. Entienden que existen también otros fenómenos, aunque los mismos no puedan ser identificados con un nombre propio y tampoco pueda explicitarse  claramente, qué se hace con ellos. Más allá de las diferencias teórico-técnicas entre los entrevistados  aparece la idea predominante de que gran parte del contenido de una sesión analítica  involucra al vínculo terapéutico y no se enmarca dentro de los fenómenos transferenciales. Todos ellos concuerdan que la neutralidad no es posible, pudiéndose considerar hechos  inéditos, que surgen del vínculo mismo entre el terapeuta y el paciente, que no responden a otros fenómenos puramente individuales de cada miembro de esta díada. Desde el PCV lo denominan “novedad”.</w:t>
      </w:r>
    </w:p>
    <w:p w:rsidR="00667572" w:rsidRDefault="00594D4F">
      <w:pPr>
        <w:spacing w:line="360" w:lineRule="auto"/>
        <w:rPr>
          <w:i/>
        </w:rPr>
      </w:pPr>
      <w:r>
        <w:rPr>
          <w:sz w:val="24"/>
          <w:szCs w:val="24"/>
        </w:rPr>
        <w:t xml:space="preserve">Se observa cómo los entrevistados responden aludiendo a estos aspectos novedosos, que requieren de un manejo técnico que  tendrían  más que ver con la </w:t>
      </w:r>
      <w:r>
        <w:rPr>
          <w:i/>
          <w:sz w:val="24"/>
          <w:szCs w:val="24"/>
        </w:rPr>
        <w:t>intuición</w:t>
      </w:r>
      <w:r>
        <w:rPr>
          <w:sz w:val="24"/>
          <w:szCs w:val="24"/>
        </w:rPr>
        <w:t xml:space="preserve"> y la </w:t>
      </w:r>
      <w:r>
        <w:rPr>
          <w:i/>
          <w:sz w:val="24"/>
          <w:szCs w:val="24"/>
        </w:rPr>
        <w:t>inspiración,</w:t>
      </w:r>
      <w:r>
        <w:rPr>
          <w:sz w:val="24"/>
          <w:szCs w:val="24"/>
        </w:rPr>
        <w:t xml:space="preserve"> y aunque  no saben explicar, ni anticipar, sí parecen tener claro </w:t>
      </w:r>
      <w:r>
        <w:rPr>
          <w:i/>
          <w:sz w:val="24"/>
          <w:szCs w:val="24"/>
        </w:rPr>
        <w:t xml:space="preserve">que no pasa por el entendimiento y muchas veces  ni siquiera por la palabra. </w:t>
      </w:r>
    </w:p>
    <w:p w:rsidR="00667572" w:rsidRDefault="00594D4F">
      <w:pPr>
        <w:spacing w:line="360" w:lineRule="auto"/>
        <w:ind w:left="540"/>
        <w:rPr>
          <w:color w:val="0000FF"/>
        </w:rPr>
      </w:pPr>
      <w:r>
        <w:t xml:space="preserve">Algunos  terapeutas consultados  consideran  que fueron cambiando su forma de trabajar a lo largo del tiempo, sintiéndose ahora </w:t>
      </w:r>
      <w:r>
        <w:rPr>
          <w:b/>
          <w:i/>
        </w:rPr>
        <w:t>“</w:t>
      </w:r>
      <w:r>
        <w:rPr>
          <w:i/>
        </w:rPr>
        <w:t>más flexibles”</w:t>
      </w:r>
      <w:r>
        <w:rPr>
          <w:b/>
          <w:i/>
        </w:rPr>
        <w:t>, “</w:t>
      </w:r>
      <w:r>
        <w:rPr>
          <w:i/>
        </w:rPr>
        <w:t>menos formales</w:t>
      </w:r>
      <w:r>
        <w:rPr>
          <w:b/>
          <w:i/>
        </w:rPr>
        <w:t>” “</w:t>
      </w:r>
      <w:r>
        <w:rPr>
          <w:i/>
        </w:rPr>
        <w:t>más genuinos ”y “espontáneos</w:t>
      </w:r>
      <w:r>
        <w:rPr>
          <w:b/>
          <w:i/>
        </w:rPr>
        <w:t>”</w:t>
      </w:r>
      <w:r>
        <w:t xml:space="preserve"> tarea en la que han ido integrando más factores humanos , sensibilidad para actuar como </w:t>
      </w:r>
      <w:r>
        <w:rPr>
          <w:b/>
        </w:rPr>
        <w:t>“</w:t>
      </w:r>
      <w:r>
        <w:rPr>
          <w:i/>
        </w:rPr>
        <w:t>una persona normal con alguien a quien respetan</w:t>
      </w:r>
      <w:r>
        <w:rPr>
          <w:b/>
          <w:i/>
        </w:rPr>
        <w:t>”.</w:t>
      </w:r>
      <w:r>
        <w:t>(</w:t>
      </w:r>
      <w:proofErr w:type="spellStart"/>
      <w:r>
        <w:t>Ent</w:t>
      </w:r>
      <w:proofErr w:type="spellEnd"/>
      <w:r>
        <w:t xml:space="preserve">. PSO). Sobre las formas de intervenir entienden  que </w:t>
      </w:r>
      <w:r>
        <w:rPr>
          <w:i/>
        </w:rPr>
        <w:t>“no solo se trabaja con la cabeza” ” es necesario la plasticidad”</w:t>
      </w:r>
      <w:r>
        <w:t xml:space="preserve"> (</w:t>
      </w:r>
      <w:proofErr w:type="spellStart"/>
      <w:r>
        <w:t>Ent</w:t>
      </w:r>
      <w:proofErr w:type="spellEnd"/>
      <w:r>
        <w:t xml:space="preserve">. PCV), que interviene cuando tiene </w:t>
      </w:r>
      <w:r>
        <w:rPr>
          <w:i/>
        </w:rPr>
        <w:t>“una ocurrencia fuerte”</w:t>
      </w:r>
      <w:r>
        <w:t xml:space="preserve"> (</w:t>
      </w:r>
      <w:proofErr w:type="spellStart"/>
      <w:r>
        <w:t>Ent</w:t>
      </w:r>
      <w:proofErr w:type="spellEnd"/>
      <w:r>
        <w:t>. PCV), Cuando entiende “</w:t>
      </w:r>
      <w:r>
        <w:rPr>
          <w:i/>
        </w:rPr>
        <w:t>que debe intervenir</w:t>
      </w:r>
      <w:r>
        <w:t>” (</w:t>
      </w:r>
      <w:proofErr w:type="spellStart"/>
      <w:r>
        <w:t>Ent.PCV</w:t>
      </w:r>
      <w:proofErr w:type="spellEnd"/>
      <w:r>
        <w:t>), Con lo que se le “</w:t>
      </w:r>
      <w:r>
        <w:rPr>
          <w:i/>
        </w:rPr>
        <w:t>va ocurriendo</w:t>
      </w:r>
      <w:r>
        <w:t>” (</w:t>
      </w:r>
      <w:proofErr w:type="spellStart"/>
      <w:r>
        <w:t>Ent</w:t>
      </w:r>
      <w:proofErr w:type="spellEnd"/>
      <w:r>
        <w:t>. PCV), existen</w:t>
      </w:r>
      <w:r>
        <w:rPr>
          <w:i/>
        </w:rPr>
        <w:t xml:space="preserve"> “situaciones donde hay que hacer otras cosas”</w:t>
      </w:r>
      <w:r>
        <w:t xml:space="preserve"> y darse cuenta que “</w:t>
      </w:r>
      <w:r>
        <w:rPr>
          <w:i/>
        </w:rPr>
        <w:t>si el terapeuta habla como sujeto no habla como sujeto-objeto de transferencia</w:t>
      </w:r>
      <w:r>
        <w:t>” (</w:t>
      </w:r>
      <w:proofErr w:type="spellStart"/>
      <w:r>
        <w:t>Alzugaray</w:t>
      </w:r>
      <w:proofErr w:type="spellEnd"/>
      <w:r>
        <w:t>, 2015</w:t>
      </w:r>
      <w:proofErr w:type="gramStart"/>
      <w:r>
        <w:t>,p.77</w:t>
      </w:r>
      <w:proofErr w:type="gramEnd"/>
      <w:r>
        <w:t>)</w:t>
      </w:r>
    </w:p>
    <w:p w:rsidR="00667572" w:rsidRDefault="00594D4F">
      <w:pPr>
        <w:spacing w:line="360" w:lineRule="auto"/>
        <w:rPr>
          <w:sz w:val="24"/>
          <w:szCs w:val="24"/>
        </w:rPr>
      </w:pPr>
      <w:r>
        <w:rPr>
          <w:sz w:val="24"/>
          <w:szCs w:val="24"/>
        </w:rPr>
        <w:t>Muchos de los terapeutas entrevistados  remarcan la importancia del vínculo  y otros del Vínculo (con mayúsculas)</w:t>
      </w:r>
      <w:r>
        <w:rPr>
          <w:sz w:val="24"/>
          <w:szCs w:val="24"/>
          <w:vertAlign w:val="superscript"/>
        </w:rPr>
        <w:footnoteReference w:id="4"/>
      </w:r>
      <w:r>
        <w:rPr>
          <w:sz w:val="24"/>
          <w:szCs w:val="24"/>
        </w:rPr>
        <w:t xml:space="preserve">, donde se jugaría una parte importante de la tarea. </w:t>
      </w:r>
    </w:p>
    <w:p w:rsidR="00667572" w:rsidRDefault="00594D4F">
      <w:pPr>
        <w:spacing w:line="360" w:lineRule="auto"/>
        <w:rPr>
          <w:sz w:val="24"/>
          <w:szCs w:val="24"/>
        </w:rPr>
      </w:pPr>
      <w:r>
        <w:rPr>
          <w:sz w:val="24"/>
          <w:szCs w:val="24"/>
        </w:rPr>
        <w:lastRenderedPageBreak/>
        <w:t>Distintos entrevistados convergen en la idea de que “</w:t>
      </w:r>
      <w:r>
        <w:rPr>
          <w:b/>
          <w:sz w:val="24"/>
          <w:szCs w:val="24"/>
        </w:rPr>
        <w:t xml:space="preserve">“ </w:t>
      </w:r>
      <w:r>
        <w:rPr>
          <w:i/>
          <w:sz w:val="24"/>
          <w:szCs w:val="24"/>
        </w:rPr>
        <w:t>las anécdotas”</w:t>
      </w:r>
      <w:r>
        <w:rPr>
          <w:sz w:val="24"/>
          <w:szCs w:val="24"/>
        </w:rPr>
        <w:t>, la “</w:t>
      </w:r>
      <w:r>
        <w:rPr>
          <w:i/>
          <w:sz w:val="24"/>
          <w:szCs w:val="24"/>
        </w:rPr>
        <w:t>conversación</w:t>
      </w:r>
      <w:r>
        <w:rPr>
          <w:sz w:val="24"/>
          <w:szCs w:val="24"/>
        </w:rPr>
        <w:t>”, lo “</w:t>
      </w:r>
      <w:r>
        <w:rPr>
          <w:i/>
          <w:sz w:val="24"/>
          <w:szCs w:val="24"/>
        </w:rPr>
        <w:t>metafórico</w:t>
      </w:r>
      <w:r>
        <w:rPr>
          <w:sz w:val="24"/>
          <w:szCs w:val="24"/>
        </w:rPr>
        <w:t>” “</w:t>
      </w:r>
      <w:r>
        <w:rPr>
          <w:i/>
          <w:sz w:val="24"/>
          <w:szCs w:val="24"/>
        </w:rPr>
        <w:t>las películas de cine”</w:t>
      </w:r>
      <w:r w:rsidR="00CF5C66">
        <w:rPr>
          <w:sz w:val="24"/>
          <w:szCs w:val="24"/>
        </w:rPr>
        <w:t xml:space="preserve"> (</w:t>
      </w:r>
      <w:proofErr w:type="spellStart"/>
      <w:r w:rsidR="00CF5C66">
        <w:rPr>
          <w:sz w:val="24"/>
          <w:szCs w:val="24"/>
        </w:rPr>
        <w:t>Alzu</w:t>
      </w:r>
      <w:r>
        <w:rPr>
          <w:sz w:val="24"/>
          <w:szCs w:val="24"/>
        </w:rPr>
        <w:t>garay</w:t>
      </w:r>
      <w:proofErr w:type="spellEnd"/>
      <w:r>
        <w:rPr>
          <w:sz w:val="24"/>
          <w:szCs w:val="24"/>
        </w:rPr>
        <w:t>, 2015, p.78) son parte del material analítico o también  hay zonas y momentos no analíticos en donde se</w:t>
      </w:r>
      <w:r>
        <w:rPr>
          <w:b/>
          <w:sz w:val="24"/>
          <w:szCs w:val="24"/>
        </w:rPr>
        <w:t xml:space="preserve"> </w:t>
      </w:r>
      <w:r>
        <w:rPr>
          <w:sz w:val="24"/>
          <w:szCs w:val="24"/>
        </w:rPr>
        <w:t>gestan y/o mueven los entretelones de lo vincular .Muchos de los expertos expresan en diferentes momentos cierta incomodidad a la hora de hablar de algunas cuestiones que exceden los conceptos más clásicos u ortodoxos, teniendo la sensación de poder ser mal vistos por sus colegas.</w:t>
      </w:r>
    </w:p>
    <w:p w:rsidR="00667572" w:rsidRDefault="00594D4F">
      <w:pPr>
        <w:spacing w:line="360" w:lineRule="auto"/>
        <w:ind w:left="540"/>
        <w:rPr>
          <w:sz w:val="24"/>
          <w:szCs w:val="24"/>
        </w:rPr>
      </w:pPr>
      <w:r>
        <w:t xml:space="preserve"> “</w:t>
      </w:r>
      <w:r>
        <w:rPr>
          <w:i/>
        </w:rPr>
        <w:t xml:space="preserve">Hay mucha tela para investigar y descubrir, lo que pasa es que hay un modelo del que muchas veces si te </w:t>
      </w:r>
      <w:proofErr w:type="spellStart"/>
      <w:r>
        <w:rPr>
          <w:i/>
        </w:rPr>
        <w:t>apartás</w:t>
      </w:r>
      <w:proofErr w:type="spellEnd"/>
      <w:r>
        <w:rPr>
          <w:i/>
        </w:rPr>
        <w:t xml:space="preserve"> te sancionan y es un problema”</w:t>
      </w:r>
      <w:r w:rsidR="00CF5C66">
        <w:rPr>
          <w:i/>
        </w:rPr>
        <w:t xml:space="preserve"> </w:t>
      </w:r>
      <w:r>
        <w:t>(</w:t>
      </w:r>
      <w:proofErr w:type="spellStart"/>
      <w:r>
        <w:t>Ent</w:t>
      </w:r>
      <w:proofErr w:type="spellEnd"/>
      <w:r>
        <w:t>.</w:t>
      </w:r>
      <w:r w:rsidR="00CF5C66">
        <w:t xml:space="preserve"> </w:t>
      </w:r>
      <w:r>
        <w:t>PCV) A veces “</w:t>
      </w:r>
      <w:r>
        <w:rPr>
          <w:i/>
        </w:rPr>
        <w:t xml:space="preserve">las cosas que </w:t>
      </w:r>
      <w:proofErr w:type="spellStart"/>
      <w:r>
        <w:rPr>
          <w:i/>
        </w:rPr>
        <w:t>hacés</w:t>
      </w:r>
      <w:proofErr w:type="spellEnd"/>
      <w:r>
        <w:rPr>
          <w:i/>
        </w:rPr>
        <w:t xml:space="preserve"> en tu consultorio o que suceden, no las podes decir en todas partes o </w:t>
      </w:r>
      <w:proofErr w:type="spellStart"/>
      <w:r>
        <w:rPr>
          <w:i/>
        </w:rPr>
        <w:t>sos</w:t>
      </w:r>
      <w:proofErr w:type="spellEnd"/>
      <w:r>
        <w:rPr>
          <w:i/>
        </w:rPr>
        <w:t xml:space="preserve"> mal vista” </w:t>
      </w:r>
      <w:r>
        <w:t>(</w:t>
      </w:r>
      <w:proofErr w:type="spellStart"/>
      <w:r>
        <w:t>Ent</w:t>
      </w:r>
      <w:proofErr w:type="spellEnd"/>
      <w:r>
        <w:t xml:space="preserve"> PCV) </w:t>
      </w:r>
      <w:r>
        <w:rPr>
          <w:i/>
        </w:rPr>
        <w:t>“El analista sujeto molesta”</w:t>
      </w:r>
      <w:r>
        <w:t xml:space="preserve"> (</w:t>
      </w:r>
      <w:proofErr w:type="spellStart"/>
      <w:r>
        <w:t>Ent</w:t>
      </w:r>
      <w:proofErr w:type="spellEnd"/>
      <w:r>
        <w:t>. PCV). (</w:t>
      </w:r>
      <w:proofErr w:type="spellStart"/>
      <w:r>
        <w:t>Alzugaray</w:t>
      </w:r>
      <w:proofErr w:type="spellEnd"/>
      <w:r>
        <w:t>, 2015, p.77)</w:t>
      </w:r>
    </w:p>
    <w:p w:rsidR="00667572" w:rsidRDefault="00594D4F">
      <w:pPr>
        <w:spacing w:line="360" w:lineRule="auto"/>
        <w:rPr>
          <w:sz w:val="24"/>
          <w:szCs w:val="24"/>
          <w:u w:val="single"/>
        </w:rPr>
      </w:pPr>
      <w:r>
        <w:rPr>
          <w:sz w:val="24"/>
          <w:szCs w:val="24"/>
          <w:u w:val="single"/>
        </w:rPr>
        <w:t xml:space="preserve">Reflexiones finales. </w:t>
      </w:r>
    </w:p>
    <w:p w:rsidR="00667572" w:rsidRDefault="00594D4F">
      <w:pPr>
        <w:spacing w:line="360" w:lineRule="auto"/>
        <w:rPr>
          <w:sz w:val="24"/>
          <w:szCs w:val="24"/>
        </w:rPr>
      </w:pPr>
      <w:r>
        <w:rPr>
          <w:sz w:val="24"/>
          <w:szCs w:val="24"/>
        </w:rPr>
        <w:t xml:space="preserve">Desde el PCV se destaca la concepción de que el otro es otro, que tiene una dimensión de ajenidad irrepresentable y que  su presencia por sí misma  modifica el campo, que asimismo  el terapeuta también es otro, que (se) juega en la escena psicoanalítica. </w:t>
      </w:r>
      <w:r>
        <w:rPr>
          <w:sz w:val="24"/>
          <w:szCs w:val="24"/>
        </w:rPr>
        <w:br/>
        <w:t xml:space="preserve">Mencionar al terapeuta como otro,  introduce a pensar  en uno de los aspectos indagados en la investigación,  que corresponde a  la dimensión del terapeuta – persona dentro  del Vínculo Terapéutico. Y esta dificultad se redobla  también al pensar  en la formación del terapeuta;  ¿cómo transmitir el conocimiento sobre la teoría de la técnica? Cómo aprender  las herramientas de  intervención, cuando las intervenciones necesariamente atraviesan el  vínculo, y en ese marco  poco es controlable  y repetible?   </w:t>
      </w:r>
    </w:p>
    <w:p w:rsidR="00667572" w:rsidRDefault="00594D4F">
      <w:pPr>
        <w:spacing w:line="360" w:lineRule="auto"/>
        <w:ind w:left="690"/>
        <w:sectPr w:rsidR="00667572">
          <w:pgSz w:w="11909" w:h="16834"/>
          <w:pgMar w:top="1440" w:right="1440" w:bottom="1440" w:left="1440" w:header="0" w:footer="720" w:gutter="0"/>
          <w:pgNumType w:start="1"/>
          <w:cols w:space="720"/>
        </w:sectPr>
      </w:pPr>
      <w:r>
        <w:rPr>
          <w:sz w:val="24"/>
          <w:szCs w:val="24"/>
        </w:rPr>
        <w:tab/>
      </w:r>
      <w:r>
        <w:t>Quedaba tan cómodo pensar en la asimetría del terapeuta paciente, en la neutralidad del terapeuta, en la transferencia como repetición. Quedaba tan cómodo pensar en que hacíamos terapia en el consultorio, donde el encuadre nos sostenía en el rol y que teníamos todo el tiempo para entender lo que no entendíamos  porque el inconsciente insiste y reitera… Éramos  asépticos, inmutables, no involucrados…. ¿Seremos capaces de tolerar la incertidumbre que todo esto implica? (</w:t>
      </w:r>
      <w:proofErr w:type="spellStart"/>
      <w:r>
        <w:t>Muniz</w:t>
      </w:r>
      <w:proofErr w:type="spellEnd"/>
      <w:r>
        <w:t xml:space="preserve"> 2009, p. 17)  </w:t>
      </w:r>
      <w:r>
        <w:br/>
      </w:r>
    </w:p>
    <w:p w:rsidR="00667572" w:rsidRDefault="00594D4F">
      <w:pPr>
        <w:spacing w:line="360" w:lineRule="auto"/>
        <w:rPr>
          <w:sz w:val="24"/>
          <w:szCs w:val="24"/>
        </w:rPr>
      </w:pPr>
      <w:r>
        <w:rPr>
          <w:sz w:val="24"/>
          <w:szCs w:val="24"/>
        </w:rPr>
        <w:t xml:space="preserve">-Mg </w:t>
      </w:r>
      <w:proofErr w:type="spellStart"/>
      <w:r>
        <w:rPr>
          <w:sz w:val="24"/>
          <w:szCs w:val="24"/>
        </w:rPr>
        <w:t>Lic</w:t>
      </w:r>
      <w:proofErr w:type="spellEnd"/>
      <w:r>
        <w:rPr>
          <w:sz w:val="24"/>
          <w:szCs w:val="24"/>
        </w:rPr>
        <w:t xml:space="preserve"> en </w:t>
      </w:r>
      <w:proofErr w:type="spellStart"/>
      <w:r>
        <w:rPr>
          <w:sz w:val="24"/>
          <w:szCs w:val="24"/>
        </w:rPr>
        <w:t>Psic</w:t>
      </w:r>
      <w:proofErr w:type="spellEnd"/>
      <w:r>
        <w:rPr>
          <w:sz w:val="24"/>
          <w:szCs w:val="24"/>
        </w:rPr>
        <w:t xml:space="preserve">. </w:t>
      </w:r>
      <w:proofErr w:type="spellStart"/>
      <w:r>
        <w:rPr>
          <w:sz w:val="24"/>
          <w:szCs w:val="24"/>
        </w:rPr>
        <w:t>Annabel</w:t>
      </w:r>
      <w:proofErr w:type="spellEnd"/>
      <w:r>
        <w:rPr>
          <w:sz w:val="24"/>
          <w:szCs w:val="24"/>
        </w:rPr>
        <w:t xml:space="preserve"> </w:t>
      </w:r>
      <w:proofErr w:type="spellStart"/>
      <w:r>
        <w:rPr>
          <w:sz w:val="24"/>
          <w:szCs w:val="24"/>
        </w:rPr>
        <w:t>Alzugaray</w:t>
      </w:r>
      <w:proofErr w:type="spellEnd"/>
      <w:r>
        <w:rPr>
          <w:sz w:val="24"/>
          <w:szCs w:val="24"/>
        </w:rPr>
        <w:t xml:space="preserve">                                                 </w:t>
      </w:r>
    </w:p>
    <w:p w:rsidR="00667572" w:rsidRDefault="00594D4F">
      <w:pPr>
        <w:spacing w:line="360" w:lineRule="auto"/>
        <w:rPr>
          <w:sz w:val="24"/>
          <w:szCs w:val="24"/>
        </w:rPr>
      </w:pPr>
      <w:r>
        <w:rPr>
          <w:sz w:val="24"/>
          <w:szCs w:val="24"/>
        </w:rPr>
        <w:t>Docente Salud Mental en Comunidad</w:t>
      </w:r>
    </w:p>
    <w:p w:rsidR="00667572" w:rsidRDefault="00594D4F">
      <w:pPr>
        <w:spacing w:line="360" w:lineRule="auto"/>
        <w:rPr>
          <w:sz w:val="24"/>
          <w:szCs w:val="24"/>
        </w:rPr>
      </w:pPr>
      <w:r>
        <w:rPr>
          <w:sz w:val="24"/>
          <w:szCs w:val="24"/>
        </w:rPr>
        <w:t xml:space="preserve">Facultad de Medicina- </w:t>
      </w:r>
      <w:proofErr w:type="spellStart"/>
      <w:r>
        <w:rPr>
          <w:sz w:val="24"/>
          <w:szCs w:val="24"/>
        </w:rPr>
        <w:t>Udelar</w:t>
      </w:r>
      <w:proofErr w:type="spellEnd"/>
    </w:p>
    <w:p w:rsidR="00667572" w:rsidRDefault="00594D4F">
      <w:pPr>
        <w:spacing w:line="360" w:lineRule="auto"/>
        <w:jc w:val="right"/>
        <w:rPr>
          <w:sz w:val="24"/>
          <w:szCs w:val="24"/>
        </w:rPr>
      </w:pPr>
      <w:r>
        <w:rPr>
          <w:sz w:val="24"/>
          <w:szCs w:val="24"/>
        </w:rPr>
        <w:t xml:space="preserve"> -Lic. </w:t>
      </w:r>
      <w:proofErr w:type="gramStart"/>
      <w:r>
        <w:rPr>
          <w:sz w:val="24"/>
          <w:szCs w:val="24"/>
        </w:rPr>
        <w:t>en</w:t>
      </w:r>
      <w:proofErr w:type="gramEnd"/>
      <w:r>
        <w:rPr>
          <w:sz w:val="24"/>
          <w:szCs w:val="24"/>
        </w:rPr>
        <w:t xml:space="preserve"> Psicología </w:t>
      </w:r>
      <w:proofErr w:type="spellStart"/>
      <w:r>
        <w:rPr>
          <w:sz w:val="24"/>
          <w:szCs w:val="24"/>
        </w:rPr>
        <w:t>M°</w:t>
      </w:r>
      <w:proofErr w:type="spellEnd"/>
      <w:r>
        <w:rPr>
          <w:sz w:val="24"/>
          <w:szCs w:val="24"/>
        </w:rPr>
        <w:t xml:space="preserve"> Noel </w:t>
      </w:r>
      <w:proofErr w:type="spellStart"/>
      <w:r>
        <w:rPr>
          <w:sz w:val="24"/>
          <w:szCs w:val="24"/>
        </w:rPr>
        <w:t>Fekete</w:t>
      </w:r>
      <w:proofErr w:type="spellEnd"/>
    </w:p>
    <w:p w:rsidR="00667572" w:rsidRDefault="00594D4F">
      <w:pPr>
        <w:spacing w:line="360" w:lineRule="auto"/>
        <w:jc w:val="right"/>
        <w:rPr>
          <w:sz w:val="24"/>
          <w:szCs w:val="24"/>
        </w:rPr>
      </w:pPr>
      <w:r>
        <w:rPr>
          <w:sz w:val="24"/>
          <w:szCs w:val="24"/>
        </w:rPr>
        <w:t xml:space="preserve">Operadora INAU/MIDES </w:t>
      </w:r>
    </w:p>
    <w:p w:rsidR="00667572" w:rsidRDefault="00594D4F">
      <w:pPr>
        <w:spacing w:line="360" w:lineRule="auto"/>
        <w:jc w:val="right"/>
        <w:rPr>
          <w:sz w:val="24"/>
          <w:szCs w:val="24"/>
        </w:rPr>
        <w:sectPr w:rsidR="00667572">
          <w:type w:val="continuous"/>
          <w:pgSz w:w="11909" w:h="16834"/>
          <w:pgMar w:top="1440" w:right="1440" w:bottom="1440" w:left="1440" w:header="0" w:footer="720" w:gutter="0"/>
          <w:cols w:num="2" w:space="720" w:equalWidth="0">
            <w:col w:w="4152" w:space="720"/>
            <w:col w:w="4152" w:space="0"/>
          </w:cols>
        </w:sectPr>
      </w:pPr>
      <w:r>
        <w:rPr>
          <w:sz w:val="24"/>
          <w:szCs w:val="24"/>
        </w:rPr>
        <w:t>CEIPFO</w:t>
      </w:r>
    </w:p>
    <w:p w:rsidR="00667572" w:rsidRDefault="00594D4F">
      <w:pPr>
        <w:spacing w:line="360" w:lineRule="auto"/>
        <w:rPr>
          <w:sz w:val="24"/>
          <w:szCs w:val="24"/>
        </w:rPr>
      </w:pPr>
      <w:r>
        <w:rPr>
          <w:sz w:val="24"/>
          <w:szCs w:val="24"/>
        </w:rPr>
        <w:t xml:space="preserve"> </w:t>
      </w:r>
      <w:r w:rsidR="00CF5C66">
        <w:rPr>
          <w:sz w:val="18"/>
          <w:szCs w:val="18"/>
        </w:rPr>
        <w:t>alzuann@gmail.com</w:t>
      </w:r>
      <w:r w:rsidR="00CF5C66">
        <w:t xml:space="preserve">  </w:t>
      </w:r>
    </w:p>
    <w:p w:rsidR="00667572" w:rsidRDefault="00667572">
      <w:pPr>
        <w:spacing w:line="360" w:lineRule="auto"/>
        <w:rPr>
          <w:sz w:val="24"/>
          <w:szCs w:val="24"/>
        </w:rPr>
      </w:pPr>
    </w:p>
    <w:p w:rsidR="00667572" w:rsidRDefault="00594D4F">
      <w:pPr>
        <w:spacing w:line="360" w:lineRule="auto"/>
        <w:rPr>
          <w:sz w:val="24"/>
          <w:szCs w:val="24"/>
        </w:rPr>
      </w:pPr>
      <w:r>
        <w:rPr>
          <w:sz w:val="24"/>
          <w:szCs w:val="24"/>
        </w:rPr>
        <w:t>Referencias Bibliográficas</w:t>
      </w:r>
    </w:p>
    <w:p w:rsidR="00667572" w:rsidRDefault="00667572">
      <w:pPr>
        <w:spacing w:line="360" w:lineRule="auto"/>
        <w:rPr>
          <w:sz w:val="24"/>
          <w:szCs w:val="24"/>
        </w:rPr>
      </w:pPr>
    </w:p>
    <w:p w:rsidR="00667572" w:rsidRDefault="00594D4F">
      <w:pPr>
        <w:numPr>
          <w:ilvl w:val="0"/>
          <w:numId w:val="1"/>
        </w:numPr>
        <w:spacing w:line="360" w:lineRule="auto"/>
        <w:contextualSpacing/>
        <w:rPr>
          <w:sz w:val="24"/>
          <w:szCs w:val="24"/>
        </w:rPr>
      </w:pPr>
      <w:proofErr w:type="spellStart"/>
      <w:r>
        <w:rPr>
          <w:sz w:val="24"/>
          <w:szCs w:val="24"/>
        </w:rPr>
        <w:t>Alzugaray</w:t>
      </w:r>
      <w:proofErr w:type="spellEnd"/>
      <w:r>
        <w:rPr>
          <w:sz w:val="24"/>
          <w:szCs w:val="24"/>
        </w:rPr>
        <w:t xml:space="preserve">, A. (2015.). Análisis del concepto vínculo terapéutico y su importancia en la </w:t>
      </w:r>
      <w:proofErr w:type="gramStart"/>
      <w:r>
        <w:rPr>
          <w:sz w:val="24"/>
          <w:szCs w:val="24"/>
        </w:rPr>
        <w:t>clínica :</w:t>
      </w:r>
      <w:proofErr w:type="gramEnd"/>
      <w:r>
        <w:rPr>
          <w:sz w:val="24"/>
          <w:szCs w:val="24"/>
        </w:rPr>
        <w:t xml:space="preserve"> un estudio a partir de la experiencia de psicoterapeutas de formación psicoanalítica y del psicoanálisis vincular. Tesis de maestría. Universidad de la República (Uruguay). Facultad de Psicología.</w:t>
      </w:r>
    </w:p>
    <w:p w:rsidR="00667572" w:rsidRDefault="00594D4F">
      <w:pPr>
        <w:numPr>
          <w:ilvl w:val="0"/>
          <w:numId w:val="1"/>
        </w:numPr>
        <w:spacing w:line="360" w:lineRule="auto"/>
        <w:contextualSpacing/>
        <w:rPr>
          <w:sz w:val="24"/>
          <w:szCs w:val="24"/>
        </w:rPr>
      </w:pPr>
      <w:proofErr w:type="spellStart"/>
      <w:r>
        <w:rPr>
          <w:sz w:val="24"/>
          <w:szCs w:val="24"/>
        </w:rPr>
        <w:t>Berenstein</w:t>
      </w:r>
      <w:proofErr w:type="spellEnd"/>
      <w:r>
        <w:rPr>
          <w:sz w:val="24"/>
          <w:szCs w:val="24"/>
        </w:rPr>
        <w:t xml:space="preserve">, I. (2001). El Sujeto y el Otro. De la ausencia a la presencia. Bs As: </w:t>
      </w:r>
      <w:proofErr w:type="spellStart"/>
      <w:r>
        <w:rPr>
          <w:sz w:val="24"/>
          <w:szCs w:val="24"/>
        </w:rPr>
        <w:t>Paidos</w:t>
      </w:r>
      <w:proofErr w:type="spellEnd"/>
    </w:p>
    <w:p w:rsidR="00667572" w:rsidRDefault="00594D4F">
      <w:pPr>
        <w:numPr>
          <w:ilvl w:val="0"/>
          <w:numId w:val="1"/>
        </w:numPr>
        <w:spacing w:line="360" w:lineRule="auto"/>
        <w:contextualSpacing/>
        <w:rPr>
          <w:sz w:val="24"/>
          <w:szCs w:val="24"/>
        </w:rPr>
      </w:pPr>
      <w:proofErr w:type="spellStart"/>
      <w:r>
        <w:rPr>
          <w:sz w:val="24"/>
          <w:szCs w:val="24"/>
        </w:rPr>
        <w:t>Muniz</w:t>
      </w:r>
      <w:proofErr w:type="spellEnd"/>
      <w:r>
        <w:rPr>
          <w:sz w:val="24"/>
          <w:szCs w:val="24"/>
        </w:rPr>
        <w:t xml:space="preserve"> </w:t>
      </w:r>
      <w:proofErr w:type="spellStart"/>
      <w:r>
        <w:rPr>
          <w:sz w:val="24"/>
          <w:szCs w:val="24"/>
        </w:rPr>
        <w:t>Martoy</w:t>
      </w:r>
      <w:proofErr w:type="spellEnd"/>
      <w:r>
        <w:rPr>
          <w:sz w:val="24"/>
          <w:szCs w:val="24"/>
        </w:rPr>
        <w:t xml:space="preserve">. A (2009) Intervenciones en el campo de las subjetividades. Las prácticas en  la frontera. Montevideo: </w:t>
      </w:r>
      <w:proofErr w:type="spellStart"/>
      <w:r>
        <w:rPr>
          <w:sz w:val="24"/>
          <w:szCs w:val="24"/>
        </w:rPr>
        <w:t>Psicolibros</w:t>
      </w:r>
      <w:proofErr w:type="spellEnd"/>
      <w:r>
        <w:rPr>
          <w:sz w:val="24"/>
          <w:szCs w:val="24"/>
        </w:rPr>
        <w:t xml:space="preserve">.   </w:t>
      </w:r>
    </w:p>
    <w:p w:rsidR="00667572" w:rsidRDefault="00667572">
      <w:pPr>
        <w:spacing w:line="360" w:lineRule="auto"/>
        <w:rPr>
          <w:sz w:val="24"/>
          <w:szCs w:val="24"/>
        </w:rPr>
      </w:pPr>
    </w:p>
    <w:p w:rsidR="00667572" w:rsidRDefault="00667572">
      <w:pPr>
        <w:spacing w:line="360" w:lineRule="auto"/>
        <w:rPr>
          <w:color w:val="0000FF"/>
          <w:sz w:val="24"/>
          <w:szCs w:val="24"/>
        </w:rPr>
      </w:pPr>
    </w:p>
    <w:p w:rsidR="00667572" w:rsidRDefault="00667572">
      <w:pPr>
        <w:spacing w:line="360" w:lineRule="auto"/>
        <w:rPr>
          <w:color w:val="0000FF"/>
          <w:sz w:val="24"/>
          <w:szCs w:val="24"/>
        </w:rPr>
      </w:pPr>
    </w:p>
    <w:p w:rsidR="00667572" w:rsidRDefault="00667572"/>
    <w:p w:rsidR="00667572" w:rsidRDefault="00667572"/>
    <w:p w:rsidR="00667572" w:rsidRDefault="00667572"/>
    <w:p w:rsidR="00667572" w:rsidRDefault="00667572"/>
    <w:p w:rsidR="00667572" w:rsidRDefault="00667572"/>
    <w:p w:rsidR="00667572" w:rsidRDefault="00667572"/>
    <w:p w:rsidR="00667572" w:rsidRDefault="00667572"/>
    <w:p w:rsidR="00667572" w:rsidRDefault="00594D4F">
      <w:pPr>
        <w:spacing w:line="360" w:lineRule="auto"/>
        <w:rPr>
          <w:sz w:val="24"/>
          <w:szCs w:val="24"/>
        </w:rPr>
      </w:pPr>
      <w:r>
        <w:rPr>
          <w:sz w:val="24"/>
          <w:szCs w:val="24"/>
        </w:rPr>
        <w:t>-SE AUTORIZA PUBLICACIÓN-</w:t>
      </w:r>
    </w:p>
    <w:p w:rsidR="00667572" w:rsidRDefault="00667572"/>
    <w:sectPr w:rsidR="00667572">
      <w:type w:val="continuous"/>
      <w:pgSz w:w="11909" w:h="16834"/>
      <w:pgMar w:top="1440" w:right="1440" w:bottom="1440" w:left="1440" w:header="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E81" w:rsidRDefault="006D7E81">
      <w:pPr>
        <w:spacing w:line="240" w:lineRule="auto"/>
      </w:pPr>
      <w:r>
        <w:separator/>
      </w:r>
    </w:p>
  </w:endnote>
  <w:endnote w:type="continuationSeparator" w:id="0">
    <w:p w:rsidR="006D7E81" w:rsidRDefault="006D7E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E81" w:rsidRDefault="006D7E81">
      <w:pPr>
        <w:spacing w:line="240" w:lineRule="auto"/>
      </w:pPr>
      <w:r>
        <w:separator/>
      </w:r>
    </w:p>
  </w:footnote>
  <w:footnote w:type="continuationSeparator" w:id="0">
    <w:p w:rsidR="006D7E81" w:rsidRDefault="006D7E81">
      <w:pPr>
        <w:spacing w:line="240" w:lineRule="auto"/>
      </w:pPr>
      <w:r>
        <w:continuationSeparator/>
      </w:r>
    </w:p>
  </w:footnote>
  <w:footnote w:id="1">
    <w:p w:rsidR="00667572" w:rsidRDefault="00594D4F">
      <w:pPr>
        <w:spacing w:line="240" w:lineRule="auto"/>
        <w:rPr>
          <w:sz w:val="16"/>
          <w:szCs w:val="16"/>
        </w:rPr>
      </w:pPr>
      <w:r>
        <w:rPr>
          <w:vertAlign w:val="superscript"/>
        </w:rPr>
        <w:footnoteRef/>
      </w:r>
      <w:r>
        <w:rPr>
          <w:sz w:val="20"/>
          <w:szCs w:val="20"/>
        </w:rPr>
        <w:t xml:space="preserve">  </w:t>
      </w:r>
      <w:r>
        <w:rPr>
          <w:sz w:val="16"/>
          <w:szCs w:val="16"/>
        </w:rPr>
        <w:t xml:space="preserve">Tesis :”Análisis del concepto de vínculo terapéutico y su importancia en la clínica: un estudio a partir de la experiencia de psicoterapeutas de formación psicoanalítica y del psicoanálisis vincular”  </w:t>
      </w:r>
    </w:p>
    <w:p w:rsidR="00667572" w:rsidRDefault="00594D4F">
      <w:pPr>
        <w:spacing w:line="360" w:lineRule="auto"/>
        <w:ind w:right="20"/>
        <w:rPr>
          <w:sz w:val="16"/>
          <w:szCs w:val="16"/>
        </w:rPr>
      </w:pPr>
      <w:r>
        <w:rPr>
          <w:sz w:val="16"/>
          <w:szCs w:val="16"/>
        </w:rPr>
        <w:t xml:space="preserve">En la mencionada investigación se indaga sobre el concepto de vínculo terapéutico, sus características y </w:t>
      </w:r>
      <w:proofErr w:type="spellStart"/>
      <w:r>
        <w:rPr>
          <w:sz w:val="16"/>
          <w:szCs w:val="16"/>
        </w:rPr>
        <w:t>operacionalización</w:t>
      </w:r>
      <w:proofErr w:type="spellEnd"/>
      <w:r>
        <w:rPr>
          <w:sz w:val="16"/>
          <w:szCs w:val="16"/>
        </w:rPr>
        <w:t>, en el trabajo terapéutico.</w:t>
      </w:r>
    </w:p>
    <w:p w:rsidR="00667572" w:rsidRDefault="00594D4F">
      <w:pPr>
        <w:spacing w:line="360" w:lineRule="auto"/>
        <w:rPr>
          <w:sz w:val="16"/>
          <w:szCs w:val="16"/>
        </w:rPr>
      </w:pPr>
      <w:r>
        <w:rPr>
          <w:sz w:val="16"/>
          <w:szCs w:val="16"/>
        </w:rPr>
        <w:t>Se lleva a cabo a través de la realización de entrevistas en profundidad a diez psicoterapeutas expertos, con más de 20 años de experiencia,</w:t>
      </w:r>
      <w:r w:rsidR="00CF5C66">
        <w:rPr>
          <w:sz w:val="16"/>
          <w:szCs w:val="16"/>
        </w:rPr>
        <w:t xml:space="preserve"> </w:t>
      </w:r>
      <w:r>
        <w:rPr>
          <w:sz w:val="16"/>
          <w:szCs w:val="16"/>
        </w:rPr>
        <w:t>la mitad de ellos, con formación en Psicoanálisis de diversas líneas, la otra mitad, con formación específica en Psicoanálisis de Configuraciones Vinculares. Psicoterapeutas  que ejercen en las ciudades de Montevideo, Buenos Aires y Santiago de Chile.</w:t>
      </w:r>
    </w:p>
    <w:p w:rsidR="00667572" w:rsidRDefault="00594D4F">
      <w:pPr>
        <w:spacing w:line="360" w:lineRule="auto"/>
        <w:ind w:right="100"/>
        <w:rPr>
          <w:sz w:val="20"/>
          <w:szCs w:val="20"/>
        </w:rPr>
      </w:pPr>
      <w:r>
        <w:rPr>
          <w:sz w:val="16"/>
          <w:szCs w:val="16"/>
        </w:rPr>
        <w:t xml:space="preserve">El marco referencial es el del Psicoanálisis, tomando los conceptos fundamentales de la teoría de la técnica y específicamente los del Psicoanálisis de las Configuraciones Vinculares. </w:t>
      </w:r>
      <w:r>
        <w:rPr>
          <w:rFonts w:ascii="Times New Roman" w:eastAsia="Times New Roman" w:hAnsi="Times New Roman" w:cs="Times New Roman"/>
          <w:sz w:val="16"/>
          <w:szCs w:val="16"/>
        </w:rPr>
        <w:t xml:space="preserve"> </w:t>
      </w:r>
    </w:p>
  </w:footnote>
  <w:footnote w:id="2">
    <w:p w:rsidR="00667572" w:rsidRDefault="00594D4F">
      <w:pPr>
        <w:spacing w:line="240" w:lineRule="auto"/>
        <w:rPr>
          <w:sz w:val="16"/>
          <w:szCs w:val="16"/>
        </w:rPr>
      </w:pPr>
      <w:r>
        <w:rPr>
          <w:vertAlign w:val="superscript"/>
        </w:rPr>
        <w:footnoteRef/>
      </w:r>
      <w:r>
        <w:rPr>
          <w:sz w:val="20"/>
          <w:szCs w:val="20"/>
        </w:rPr>
        <w:t xml:space="preserve"> </w:t>
      </w:r>
      <w:r>
        <w:rPr>
          <w:sz w:val="16"/>
          <w:szCs w:val="16"/>
        </w:rPr>
        <w:t xml:space="preserve">Ídem anterior nota al pie. </w:t>
      </w:r>
    </w:p>
  </w:footnote>
  <w:footnote w:id="3">
    <w:p w:rsidR="00667572" w:rsidRDefault="00594D4F">
      <w:pPr>
        <w:spacing w:line="240" w:lineRule="auto"/>
        <w:rPr>
          <w:sz w:val="20"/>
          <w:szCs w:val="20"/>
        </w:rPr>
      </w:pPr>
      <w:r>
        <w:rPr>
          <w:vertAlign w:val="superscript"/>
        </w:rPr>
        <w:footnoteRef/>
      </w:r>
      <w:r>
        <w:rPr>
          <w:sz w:val="20"/>
          <w:szCs w:val="20"/>
        </w:rPr>
        <w:t xml:space="preserve"> se utilizarán las abreviaciones de PCV Para referirse a los expertos en Psicoanálisis de las Configuraciones vinculares y PSO para aquellos que tienen formación psicoanalítica en distintas líneas. </w:t>
      </w:r>
    </w:p>
  </w:footnote>
  <w:footnote w:id="4">
    <w:p w:rsidR="00667572" w:rsidRDefault="00594D4F">
      <w:pPr>
        <w:spacing w:line="240" w:lineRule="auto"/>
        <w:rPr>
          <w:sz w:val="16"/>
          <w:szCs w:val="16"/>
        </w:rPr>
      </w:pPr>
      <w:r>
        <w:rPr>
          <w:vertAlign w:val="superscript"/>
        </w:rPr>
        <w:footnoteRef/>
      </w:r>
      <w:r>
        <w:rPr>
          <w:sz w:val="16"/>
          <w:szCs w:val="16"/>
        </w:rPr>
        <w:t xml:space="preserve"> Vínculo con mayúsculas se refiere al concepto de Vínculo desarrollado por la teoría Psicoanalítica de las Configuraciones Vinculares </w:t>
      </w:r>
      <w:r>
        <w:rPr>
          <w:sz w:val="16"/>
          <w:szCs w:val="16"/>
        </w:rPr>
        <w:b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C4626"/>
    <w:multiLevelType w:val="multilevel"/>
    <w:tmpl w:val="C0C49406"/>
    <w:lvl w:ilvl="0">
      <w:start w:val="1"/>
      <w:numFmt w:val="bullet"/>
      <w:lvlText w:val="●"/>
      <w:lvlJc w:val="left"/>
      <w:pPr>
        <w:ind w:left="720" w:hanging="360"/>
      </w:pPr>
      <w:rPr>
        <w:rFonts w:ascii="Arial" w:eastAsia="Arial" w:hAnsi="Arial" w:cs="Arial"/>
        <w:u w:val="none"/>
      </w:rPr>
    </w:lvl>
    <w:lvl w:ilvl="1">
      <w:start w:val="1"/>
      <w:numFmt w:val="bullet"/>
      <w:lvlText w:val="○"/>
      <w:lvlJc w:val="left"/>
      <w:pPr>
        <w:ind w:left="1440" w:hanging="360"/>
      </w:pPr>
      <w:rPr>
        <w:rFonts w:ascii="Arial" w:eastAsia="Arial" w:hAnsi="Arial" w:cs="Arial"/>
        <w:u w:val="none"/>
      </w:rPr>
    </w:lvl>
    <w:lvl w:ilvl="2">
      <w:start w:val="1"/>
      <w:numFmt w:val="bullet"/>
      <w:lvlText w:val="■"/>
      <w:lvlJc w:val="left"/>
      <w:pPr>
        <w:ind w:left="2160" w:hanging="360"/>
      </w:pPr>
      <w:rPr>
        <w:rFonts w:ascii="Arial" w:eastAsia="Arial" w:hAnsi="Arial" w:cs="Arial"/>
        <w:u w:val="none"/>
      </w:rPr>
    </w:lvl>
    <w:lvl w:ilvl="3">
      <w:start w:val="1"/>
      <w:numFmt w:val="bullet"/>
      <w:lvlText w:val="●"/>
      <w:lvlJc w:val="left"/>
      <w:pPr>
        <w:ind w:left="2880" w:hanging="360"/>
      </w:pPr>
      <w:rPr>
        <w:rFonts w:ascii="Arial" w:eastAsia="Arial" w:hAnsi="Arial" w:cs="Arial"/>
        <w:u w:val="none"/>
      </w:rPr>
    </w:lvl>
    <w:lvl w:ilvl="4">
      <w:start w:val="1"/>
      <w:numFmt w:val="bullet"/>
      <w:lvlText w:val="○"/>
      <w:lvlJc w:val="left"/>
      <w:pPr>
        <w:ind w:left="3600" w:hanging="360"/>
      </w:pPr>
      <w:rPr>
        <w:rFonts w:ascii="Arial" w:eastAsia="Arial" w:hAnsi="Arial" w:cs="Arial"/>
        <w:u w:val="none"/>
      </w:rPr>
    </w:lvl>
    <w:lvl w:ilvl="5">
      <w:start w:val="1"/>
      <w:numFmt w:val="bullet"/>
      <w:lvlText w:val="■"/>
      <w:lvlJc w:val="left"/>
      <w:pPr>
        <w:ind w:left="4320" w:hanging="360"/>
      </w:pPr>
      <w:rPr>
        <w:rFonts w:ascii="Arial" w:eastAsia="Arial" w:hAnsi="Arial" w:cs="Arial"/>
        <w:u w:val="none"/>
      </w:rPr>
    </w:lvl>
    <w:lvl w:ilvl="6">
      <w:start w:val="1"/>
      <w:numFmt w:val="bullet"/>
      <w:lvlText w:val="●"/>
      <w:lvlJc w:val="left"/>
      <w:pPr>
        <w:ind w:left="5040" w:hanging="360"/>
      </w:pPr>
      <w:rPr>
        <w:rFonts w:ascii="Arial" w:eastAsia="Arial" w:hAnsi="Arial" w:cs="Arial"/>
        <w:u w:val="none"/>
      </w:rPr>
    </w:lvl>
    <w:lvl w:ilvl="7">
      <w:start w:val="1"/>
      <w:numFmt w:val="bullet"/>
      <w:lvlText w:val="○"/>
      <w:lvlJc w:val="left"/>
      <w:pPr>
        <w:ind w:left="5760" w:hanging="360"/>
      </w:pPr>
      <w:rPr>
        <w:rFonts w:ascii="Arial" w:eastAsia="Arial" w:hAnsi="Arial" w:cs="Arial"/>
        <w:u w:val="none"/>
      </w:rPr>
    </w:lvl>
    <w:lvl w:ilvl="8">
      <w:start w:val="1"/>
      <w:numFmt w:val="bullet"/>
      <w:lvlText w:val="■"/>
      <w:lvlJc w:val="left"/>
      <w:pPr>
        <w:ind w:left="6480" w:hanging="360"/>
      </w:pPr>
      <w:rPr>
        <w:rFonts w:ascii="Arial" w:eastAsia="Arial" w:hAnsi="Arial" w:cs="Arial"/>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572"/>
    <w:rsid w:val="000B0A90"/>
    <w:rsid w:val="00594D4F"/>
    <w:rsid w:val="00611B30"/>
    <w:rsid w:val="00667572"/>
    <w:rsid w:val="006D7E81"/>
    <w:rsid w:val="008C32A5"/>
    <w:rsid w:val="00CF5C6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246649-1205-4EAE-91ED-38C97F220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s-MX" w:eastAsia="es-MX"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1464</Words>
  <Characters>8055</Characters>
  <Application>Microsoft Office Word</Application>
  <DocSecurity>0</DocSecurity>
  <Lines>67</Lines>
  <Paragraphs>18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Toshiba</Company>
  <LinksUpToDate>false</LinksUpToDate>
  <CharactersWithSpaces>9501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Annabel</dc:creator>
  <cp:lastModifiedBy>Gabriela Montado</cp:lastModifiedBy>
  <cp:revision>2</cp:revision>
  <dcterms:created xsi:type="dcterms:W3CDTF">2017-09-10T20:25:00Z</dcterms:created>
  <dcterms:modified xsi:type="dcterms:W3CDTF">2017-09-10T20:25:00Z</dcterms:modified>
</cp:coreProperties>
</file>